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E9" w:rsidRPr="00550901" w:rsidRDefault="009E17F7" w:rsidP="009E17F7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550901">
        <w:rPr>
          <w:rFonts w:ascii="標楷體" w:eastAsia="標楷體" w:hAnsi="標楷體" w:hint="eastAsia"/>
          <w:sz w:val="32"/>
          <w:szCs w:val="32"/>
        </w:rPr>
        <w:t>臺中市后里區公所</w:t>
      </w:r>
    </w:p>
    <w:p w:rsidR="009E17F7" w:rsidRPr="009E17F7" w:rsidRDefault="009E17F7" w:rsidP="0055090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E17F7">
        <w:rPr>
          <w:rFonts w:ascii="標楷體" w:eastAsia="標楷體" w:hAnsi="標楷體" w:hint="eastAsia"/>
          <w:sz w:val="28"/>
          <w:szCs w:val="28"/>
        </w:rPr>
        <w:t>社區發展協會辦理「臺中市政府社會局輔導各區</w:t>
      </w:r>
      <w:r w:rsidR="00071872">
        <w:rPr>
          <w:rFonts w:ascii="標楷體" w:eastAsia="標楷體" w:hAnsi="標楷體" w:hint="eastAsia"/>
          <w:sz w:val="28"/>
          <w:szCs w:val="28"/>
        </w:rPr>
        <w:t>公所</w:t>
      </w:r>
      <w:r w:rsidR="005100F8">
        <w:rPr>
          <w:rFonts w:ascii="標楷體" w:eastAsia="標楷體" w:hAnsi="標楷體" w:hint="eastAsia"/>
          <w:sz w:val="28"/>
          <w:szCs w:val="28"/>
        </w:rPr>
        <w:t>辦理社區活動中心充實與維護設備暨修繕</w:t>
      </w:r>
      <w:r w:rsidR="00071872">
        <w:rPr>
          <w:rFonts w:ascii="標楷體" w:eastAsia="標楷體" w:hAnsi="標楷體" w:hint="eastAsia"/>
          <w:sz w:val="28"/>
          <w:szCs w:val="28"/>
        </w:rPr>
        <w:t>工</w:t>
      </w:r>
      <w:r w:rsidR="005100F8">
        <w:rPr>
          <w:rFonts w:ascii="標楷體" w:eastAsia="標楷體" w:hAnsi="標楷體" w:hint="eastAsia"/>
          <w:sz w:val="28"/>
          <w:szCs w:val="28"/>
        </w:rPr>
        <w:t>程</w:t>
      </w:r>
      <w:r w:rsidRPr="009E17F7">
        <w:rPr>
          <w:rFonts w:ascii="標楷體" w:eastAsia="標楷體" w:hAnsi="標楷體" w:hint="eastAsia"/>
          <w:sz w:val="28"/>
          <w:szCs w:val="28"/>
        </w:rPr>
        <w:t>實施計畫」</w:t>
      </w:r>
      <w:r w:rsidR="005100F8">
        <w:rPr>
          <w:rFonts w:ascii="標楷體" w:eastAsia="標楷體" w:hAnsi="標楷體" w:hint="eastAsia"/>
          <w:sz w:val="28"/>
          <w:szCs w:val="28"/>
        </w:rPr>
        <w:t>申請說明表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5529"/>
        <w:gridCol w:w="1417"/>
      </w:tblGrid>
      <w:tr w:rsidR="009E17F7" w:rsidTr="00C6386A">
        <w:tc>
          <w:tcPr>
            <w:tcW w:w="1696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29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17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5509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B7923">
              <w:rPr>
                <w:rFonts w:ascii="標楷體" w:eastAsia="標楷體" w:hAnsi="標楷體" w:hint="eastAsia"/>
                <w:sz w:val="28"/>
                <w:szCs w:val="28"/>
              </w:rPr>
              <w:t>補助項</w:t>
            </w: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5529" w:type="dxa"/>
          </w:tcPr>
          <w:p w:rsidR="009E17F7" w:rsidRPr="00550901" w:rsidRDefault="005B7923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6597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100F8">
              <w:rPr>
                <w:rFonts w:ascii="標楷體" w:eastAsia="標楷體" w:hAnsi="標楷體" w:hint="eastAsia"/>
                <w:sz w:val="28"/>
                <w:szCs w:val="28"/>
              </w:rPr>
              <w:t>充實與維護設施設備。</w:t>
            </w:r>
          </w:p>
          <w:p w:rsidR="009E17F7" w:rsidRPr="00550901" w:rsidRDefault="005B7923" w:rsidP="00F6597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6597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100F8">
              <w:rPr>
                <w:rFonts w:ascii="標楷體" w:eastAsia="標楷體" w:hAnsi="標楷體" w:hint="eastAsia"/>
                <w:sz w:val="28"/>
                <w:szCs w:val="28"/>
              </w:rPr>
              <w:t>維護與修繕工程。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2.申請期間</w:t>
            </w:r>
          </w:p>
        </w:tc>
        <w:tc>
          <w:tcPr>
            <w:tcW w:w="5529" w:type="dxa"/>
          </w:tcPr>
          <w:p w:rsidR="009E17F7" w:rsidRPr="00550901" w:rsidRDefault="005B7923" w:rsidP="005100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每年1月1日至</w:t>
            </w:r>
            <w:r w:rsidR="005100F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月3</w:t>
            </w:r>
            <w:r w:rsidR="005100F8">
              <w:rPr>
                <w:rFonts w:ascii="標楷體" w:eastAsia="標楷體" w:hAnsi="標楷體" w:hint="eastAsia"/>
                <w:sz w:val="28"/>
                <w:szCs w:val="28"/>
              </w:rPr>
              <w:t>1日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止。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3.資格條件</w:t>
            </w:r>
          </w:p>
        </w:tc>
        <w:tc>
          <w:tcPr>
            <w:tcW w:w="5529" w:type="dxa"/>
          </w:tcPr>
          <w:p w:rsidR="00A43317" w:rsidRDefault="005B7923" w:rsidP="00680C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A43317">
              <w:rPr>
                <w:rFonts w:ascii="標楷體" w:eastAsia="標楷體" w:hAnsi="標楷體" w:hint="eastAsia"/>
                <w:sz w:val="28"/>
                <w:szCs w:val="28"/>
              </w:rPr>
              <w:t>臺中市政府</w:t>
            </w:r>
            <w:r w:rsidR="00680C7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F65970">
              <w:rPr>
                <w:rFonts w:ascii="標楷體" w:eastAsia="標楷體" w:hAnsi="標楷體" w:hint="eastAsia"/>
                <w:sz w:val="28"/>
                <w:szCs w:val="28"/>
              </w:rPr>
              <w:t>本所編列預算興建之社區</w:t>
            </w:r>
            <w:r w:rsidR="00A433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65970" w:rsidRDefault="00A43317" w:rsidP="00680C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65970">
              <w:rPr>
                <w:rFonts w:ascii="標楷體" w:eastAsia="標楷體" w:hAnsi="標楷體" w:hint="eastAsia"/>
                <w:sz w:val="28"/>
                <w:szCs w:val="28"/>
              </w:rPr>
              <w:t>活動中心。</w:t>
            </w:r>
          </w:p>
          <w:p w:rsidR="00680C7B" w:rsidRDefault="005B7923" w:rsidP="00680C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680C7B">
              <w:rPr>
                <w:rFonts w:ascii="標楷體" w:eastAsia="標楷體" w:hAnsi="標楷體" w:hint="eastAsia"/>
                <w:sz w:val="28"/>
                <w:szCs w:val="28"/>
              </w:rPr>
              <w:t>其他經社會局核</w:t>
            </w:r>
            <w:bookmarkStart w:id="0" w:name="_GoBack"/>
            <w:bookmarkEnd w:id="0"/>
            <w:r w:rsidR="00680C7B">
              <w:rPr>
                <w:rFonts w:ascii="標楷體" w:eastAsia="標楷體" w:hAnsi="標楷體" w:hint="eastAsia"/>
                <w:sz w:val="28"/>
                <w:szCs w:val="28"/>
              </w:rPr>
              <w:t xml:space="preserve">定，由本所管理之社區 </w:t>
            </w:r>
          </w:p>
          <w:p w:rsidR="009E17F7" w:rsidRDefault="00680C7B" w:rsidP="00680C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活動中心</w:t>
            </w:r>
            <w:r w:rsidR="005B792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80C7B" w:rsidRPr="00550901" w:rsidRDefault="00680C7B" w:rsidP="00680C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(3)其他符合計畫規定者。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4.審查方式</w:t>
            </w:r>
          </w:p>
        </w:tc>
        <w:tc>
          <w:tcPr>
            <w:tcW w:w="5529" w:type="dxa"/>
          </w:tcPr>
          <w:p w:rsidR="009E17F7" w:rsidRPr="00550901" w:rsidRDefault="00680C7B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本所依社區檢具之計畫書、相關應備文件辦理行政審查</w:t>
            </w:r>
            <w:r w:rsidR="007B001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7B00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7B0018">
              <w:rPr>
                <w:rFonts w:ascii="標楷體" w:eastAsia="標楷體" w:hAnsi="標楷體" w:hint="eastAsia"/>
                <w:sz w:val="28"/>
                <w:szCs w:val="28"/>
              </w:rPr>
              <w:t>受補助者金額補助上</w:t>
            </w: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</w:p>
        </w:tc>
        <w:tc>
          <w:tcPr>
            <w:tcW w:w="5529" w:type="dxa"/>
          </w:tcPr>
          <w:p w:rsidR="009E17F7" w:rsidRPr="00550901" w:rsidRDefault="00C6386A" w:rsidP="00680C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每一計畫案補助上限</w:t>
            </w:r>
            <w:r w:rsidR="00680C7B">
              <w:rPr>
                <w:rFonts w:ascii="標楷體" w:eastAsia="標楷體" w:hAnsi="標楷體" w:hint="eastAsia"/>
                <w:sz w:val="28"/>
                <w:szCs w:val="28"/>
              </w:rPr>
              <w:t>依申請設備或工程而定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，同一計畫案補不得重複申請，每社區全年度合計最高補助新台幣</w:t>
            </w:r>
            <w:r w:rsidR="00680C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50,000元整。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5509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6.全案預算金額概估</w:t>
            </w:r>
          </w:p>
        </w:tc>
        <w:tc>
          <w:tcPr>
            <w:tcW w:w="5529" w:type="dxa"/>
          </w:tcPr>
          <w:p w:rsidR="009E17F7" w:rsidRPr="00550901" w:rsidRDefault="00C6386A" w:rsidP="00680C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全年度合計概估預算金額約新台幣</w:t>
            </w:r>
            <w:r w:rsidR="00680C7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0,000元整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E17F7" w:rsidRPr="009E17F7" w:rsidRDefault="009E17F7" w:rsidP="009E17F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註：申請此補助者，屬公職人員或關係人，應填寫公職人員及關係人身分關係揭露表；非屬公職人員或關係人，則免填。違反公職人員利益衝突迴避法第14條規定者，依第18條規定處罰。</w:t>
      </w:r>
    </w:p>
    <w:sectPr w:rsidR="009E17F7" w:rsidRPr="009E1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A1" w:rsidRDefault="006567A1" w:rsidP="005100F8">
      <w:r>
        <w:separator/>
      </w:r>
    </w:p>
  </w:endnote>
  <w:endnote w:type="continuationSeparator" w:id="0">
    <w:p w:rsidR="006567A1" w:rsidRDefault="006567A1" w:rsidP="0051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A1" w:rsidRDefault="006567A1" w:rsidP="005100F8">
      <w:r>
        <w:separator/>
      </w:r>
    </w:p>
  </w:footnote>
  <w:footnote w:type="continuationSeparator" w:id="0">
    <w:p w:rsidR="006567A1" w:rsidRDefault="006567A1" w:rsidP="0051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F7"/>
    <w:rsid w:val="00071872"/>
    <w:rsid w:val="005100F8"/>
    <w:rsid w:val="00550901"/>
    <w:rsid w:val="005B7923"/>
    <w:rsid w:val="006567A1"/>
    <w:rsid w:val="00680C7B"/>
    <w:rsid w:val="007B0018"/>
    <w:rsid w:val="009E17F7"/>
    <w:rsid w:val="00A43317"/>
    <w:rsid w:val="00C6386A"/>
    <w:rsid w:val="00DE7666"/>
    <w:rsid w:val="00E159F3"/>
    <w:rsid w:val="00F045E9"/>
    <w:rsid w:val="00F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A4712"/>
  <w15:chartTrackingRefBased/>
  <w15:docId w15:val="{3EB70964-F161-4158-BF5E-05C95A4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00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0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00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3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藍苡家</dc:creator>
  <cp:keywords/>
  <dc:description/>
  <cp:lastModifiedBy>藍苡家</cp:lastModifiedBy>
  <cp:revision>3</cp:revision>
  <cp:lastPrinted>2022-09-29T05:45:00Z</cp:lastPrinted>
  <dcterms:created xsi:type="dcterms:W3CDTF">2022-09-29T05:43:00Z</dcterms:created>
  <dcterms:modified xsi:type="dcterms:W3CDTF">2022-09-29T05:51:00Z</dcterms:modified>
</cp:coreProperties>
</file>